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4C5B" w:rsidR="00D45AC5" w:rsidRDefault="00054C5B" w14:paraId="3559B822" w14:textId="2127F0EA">
      <w:pPr>
        <w:rPr>
          <w:rFonts w:ascii="Arial" w:hAnsi="Arial" w:cs="Arial"/>
        </w:rPr>
      </w:pPr>
      <w:r w:rsidRPr="00054C5B">
        <w:rPr>
          <w:rFonts w:ascii="Arial" w:hAnsi="Arial" w:cs="Arial"/>
        </w:rPr>
        <w:t xml:space="preserve">Subject: Request to Attend Black Hat Europe 2025 Conference </w:t>
      </w:r>
    </w:p>
    <w:p w:rsidRPr="00054C5B" w:rsidR="00D45AC5" w:rsidRDefault="00054C5B" w14:paraId="4DF9C7B8" w14:textId="77777777">
      <w:pPr>
        <w:rPr>
          <w:rFonts w:ascii="Arial" w:hAnsi="Arial" w:cs="Arial"/>
        </w:rPr>
      </w:pPr>
      <w:r w:rsidRPr="00054C5B">
        <w:rPr>
          <w:rFonts w:ascii="Arial" w:hAnsi="Arial" w:cs="Arial"/>
        </w:rPr>
        <w:t>Dear [decision maker name],</w:t>
      </w:r>
    </w:p>
    <w:p w:rsidRPr="00054C5B" w:rsidR="00D45AC5" w:rsidRDefault="00054C5B" w14:paraId="026FAFBF" w14:textId="0E2F5BBF">
      <w:pPr>
        <w:rPr>
          <w:rFonts w:ascii="Arial" w:hAnsi="Arial" w:cs="Arial"/>
        </w:rPr>
      </w:pPr>
      <w:r w:rsidRPr="00054C5B">
        <w:rPr>
          <w:rFonts w:ascii="Arial" w:hAnsi="Arial" w:cs="Arial"/>
        </w:rPr>
        <w:t xml:space="preserve">I’m writing to request your approval for me to attend the Black Hat Europe 2025 Cybersecurity Conference, to be held </w:t>
      </w:r>
      <w:r w:rsidRPr="00054C5B" w:rsidR="004F7FF8">
        <w:rPr>
          <w:rFonts w:ascii="Arial" w:hAnsi="Arial" w:cs="Arial"/>
        </w:rPr>
        <w:t xml:space="preserve">December 8 </w:t>
      </w:r>
      <w:r w:rsidRPr="00054C5B">
        <w:rPr>
          <w:rFonts w:ascii="Arial" w:hAnsi="Arial" w:cs="Arial"/>
        </w:rPr>
        <w:t>-</w:t>
      </w:r>
      <w:r w:rsidRPr="00054C5B" w:rsidR="004F7FF8">
        <w:rPr>
          <w:rFonts w:ascii="Arial" w:hAnsi="Arial" w:cs="Arial"/>
        </w:rPr>
        <w:t xml:space="preserve"> 11</w:t>
      </w:r>
      <w:r w:rsidRPr="00054C5B">
        <w:rPr>
          <w:rFonts w:ascii="Arial" w:hAnsi="Arial" w:cs="Arial"/>
        </w:rPr>
        <w:t>, 2025, in London, UK. This annual event offers up to six full days of learning, networking, and skill building. Black Hat Europe 2025 (https://www.blackhat.com/eu-25) is the show that sets the benchmark for all other cybersecurity conferences. Black Hat (https://www.blackhat.com/) brings together some of the greatest researchers and instructors from around the world, showcasing the latest in cybersecurity research, development, and trends in a vendor-neutral environment.</w:t>
      </w:r>
    </w:p>
    <w:p w:rsidRPr="00054C5B" w:rsidR="00D45AC5" w:rsidRDefault="00054C5B" w14:paraId="11B5D3F5" w14:textId="77777777">
      <w:pPr>
        <w:rPr>
          <w:rFonts w:ascii="Arial" w:hAnsi="Arial" w:cs="Arial"/>
          <w:b/>
          <w:bCs/>
          <w:u w:val="single"/>
        </w:rPr>
      </w:pPr>
      <w:r w:rsidRPr="00054C5B">
        <w:rPr>
          <w:rFonts w:ascii="Arial" w:hAnsi="Arial" w:cs="Arial"/>
          <w:b/>
          <w:bCs/>
          <w:u w:val="single"/>
        </w:rPr>
        <w:t>With your approval to attend, I’ll have the opportunity to:</w:t>
      </w:r>
    </w:p>
    <w:p w:rsidRPr="00054C5B" w:rsidR="00D45AC5" w:rsidRDefault="00054C5B" w14:paraId="07911FDF" w14:textId="5BDB44D6">
      <w:pPr>
        <w:rPr>
          <w:rFonts w:ascii="Arial" w:hAnsi="Arial" w:cs="Arial"/>
        </w:rPr>
      </w:pPr>
      <w:r w:rsidRPr="00054C5B">
        <w:rPr>
          <w:rFonts w:ascii="Arial" w:hAnsi="Arial" w:cs="Arial"/>
          <w:b/>
          <w:bCs/>
        </w:rPr>
        <w:t>Expand my knowledge</w:t>
      </w:r>
      <w:r w:rsidRPr="00054C5B">
        <w:rPr>
          <w:rFonts w:ascii="Arial" w:hAnsi="Arial" w:cs="Arial"/>
        </w:rPr>
        <w:t xml:space="preserve"> – </w:t>
      </w:r>
      <w:r w:rsidRPr="007A4BAE" w:rsidR="007A4BAE">
        <w:rPr>
          <w:rFonts w:ascii="Arial" w:hAnsi="Arial" w:cs="Arial"/>
        </w:rPr>
        <w:t>Black Hat Briefings bring together top cybersecurity minds to share real-world challenges and solutions facing businesses and governments. I’ll gain insights from visionary keynote speakers and stay current on emerging trends and technologies. Black Hat remains unmatched in shaping the future of cybersecurity.</w:t>
      </w:r>
      <w:r w:rsidRPr="00054C5B">
        <w:rPr>
          <w:rFonts w:ascii="Arial" w:hAnsi="Arial" w:cs="Arial"/>
        </w:rPr>
        <w:t>; I am particularly excited about [select something from the 2025 Briefings schedule</w:t>
      </w:r>
      <w:r w:rsidR="00256B37">
        <w:rPr>
          <w:rFonts w:ascii="Arial" w:hAnsi="Arial" w:cs="Arial"/>
        </w:rPr>
        <w:t>]</w:t>
      </w:r>
      <w:r w:rsidRPr="00054C5B">
        <w:rPr>
          <w:rFonts w:ascii="Arial" w:hAnsi="Arial" w:cs="Arial"/>
        </w:rPr>
        <w:t xml:space="preserve"> View the 202</w:t>
      </w:r>
      <w:r w:rsidRPr="00054C5B" w:rsidR="004F7FF8">
        <w:rPr>
          <w:rFonts w:ascii="Arial" w:hAnsi="Arial" w:cs="Arial"/>
        </w:rPr>
        <w:t>5</w:t>
      </w:r>
      <w:r w:rsidRPr="00054C5B">
        <w:rPr>
          <w:rFonts w:ascii="Arial" w:hAnsi="Arial" w:cs="Arial"/>
        </w:rPr>
        <w:t xml:space="preserve"> schedule for reference: </w:t>
      </w:r>
      <w:hyperlink w:history="1" r:id="rId8">
        <w:r w:rsidRPr="00054C5B" w:rsidR="004F7FF8">
          <w:rPr>
            <w:rStyle w:val="Hyperlink"/>
            <w:rFonts w:ascii="Arial" w:hAnsi="Arial" w:cs="Arial"/>
          </w:rPr>
          <w:t>Black Hat Europe 2025 | Briefings Schedule</w:t>
        </w:r>
      </w:hyperlink>
      <w:r w:rsidRPr="00054C5B" w:rsidR="004F7FF8">
        <w:rPr>
          <w:rFonts w:ascii="Arial" w:hAnsi="Arial" w:cs="Arial"/>
        </w:rPr>
        <w:t xml:space="preserve"> </w:t>
      </w:r>
    </w:p>
    <w:p w:rsidRPr="00054C5B" w:rsidR="00D45AC5" w:rsidP="2D23D9A4" w:rsidRDefault="00054C5B" w14:paraId="65806B87" w14:textId="7773D3F7">
      <w:pPr>
        <w:pStyle w:val="Normal"/>
        <w:rPr>
          <w:rFonts w:ascii="Arial" w:hAnsi="Arial" w:cs="Arial"/>
        </w:rPr>
      </w:pPr>
      <w:r w:rsidRPr="2D23D9A4" w:rsidR="00054C5B">
        <w:rPr>
          <w:rFonts w:ascii="Arial" w:hAnsi="Arial" w:cs="Arial"/>
          <w:b w:val="1"/>
          <w:bCs w:val="1"/>
        </w:rPr>
        <w:t>Learn new skills</w:t>
      </w:r>
      <w:r w:rsidRPr="2D23D9A4" w:rsidR="00054C5B">
        <w:rPr>
          <w:rFonts w:ascii="Arial" w:hAnsi="Arial" w:cs="Arial"/>
        </w:rPr>
        <w:t xml:space="preserve"> </w:t>
      </w:r>
      <w:r w:rsidRPr="2D23D9A4" w:rsidR="38DA4F39">
        <w:rPr>
          <w:rFonts w:ascii="Arial" w:hAnsi="Arial" w:cs="Arial"/>
        </w:rPr>
        <w:t xml:space="preserve">– </w:t>
      </w:r>
      <w:r w:rsidRPr="2D23D9A4" w:rsidR="00953CF1">
        <w:rPr>
          <w:rFonts w:ascii="Arial" w:hAnsi="Arial" w:cs="Arial"/>
        </w:rPr>
        <w:t>This year’s Training courses offer hands-on, expert-led instruction designed to equip us with the skills needed to defend against today’s most pressing cyber threats. Black Hat Europe gathers top instructors from around the world to deliver a uniquely comprehensive curriculum.</w:t>
      </w:r>
      <w:r w:rsidRPr="2D23D9A4" w:rsidR="00953CF1">
        <w:rPr>
          <w:rFonts w:ascii="Arial" w:hAnsi="Arial" w:cs="Arial"/>
        </w:rPr>
        <w:t xml:space="preserve"> </w:t>
      </w:r>
      <w:r w:rsidRPr="2D23D9A4" w:rsidR="00054C5B">
        <w:rPr>
          <w:rFonts w:ascii="Arial" w:hAnsi="Arial" w:cs="Arial"/>
        </w:rPr>
        <w:t xml:space="preserve">There are </w:t>
      </w:r>
      <w:r w:rsidRPr="2D23D9A4" w:rsidR="004F7FF8">
        <w:rPr>
          <w:rFonts w:ascii="Arial" w:hAnsi="Arial" w:cs="Arial"/>
        </w:rPr>
        <w:t xml:space="preserve">multiple </w:t>
      </w:r>
      <w:r w:rsidRPr="2D23D9A4" w:rsidR="00054C5B">
        <w:rPr>
          <w:rFonts w:ascii="Arial" w:hAnsi="Arial" w:cs="Arial"/>
        </w:rPr>
        <w:t xml:space="preserve">Training classes covering </w:t>
      </w:r>
      <w:r w:rsidRPr="2D23D9A4" w:rsidR="00054C5B">
        <w:rPr>
          <w:rFonts w:ascii="Arial" w:hAnsi="Arial" w:cs="Arial"/>
        </w:rPr>
        <w:t>cutting-edge</w:t>
      </w:r>
      <w:r w:rsidRPr="2D23D9A4" w:rsidR="00054C5B">
        <w:rPr>
          <w:rFonts w:ascii="Arial" w:hAnsi="Arial" w:cs="Arial"/>
        </w:rPr>
        <w:t xml:space="preserve"> issues and the very latest in the space – for example [select the training you </w:t>
      </w:r>
      <w:r w:rsidRPr="2D23D9A4" w:rsidR="00054C5B">
        <w:rPr>
          <w:rFonts w:ascii="Arial" w:hAnsi="Arial" w:cs="Arial"/>
        </w:rPr>
        <w:t>seek</w:t>
      </w:r>
      <w:r w:rsidRPr="2D23D9A4" w:rsidR="00054C5B">
        <w:rPr>
          <w:rFonts w:ascii="Arial" w:hAnsi="Arial" w:cs="Arial"/>
        </w:rPr>
        <w:t xml:space="preserve"> from https://www.blackhat.com/eu-25/training/schedule/index.html, you may also wish to reference why you </w:t>
      </w:r>
      <w:r w:rsidRPr="2D23D9A4" w:rsidR="00054C5B">
        <w:rPr>
          <w:rFonts w:ascii="Arial" w:hAnsi="Arial" w:cs="Arial"/>
        </w:rPr>
        <w:t>seek</w:t>
      </w:r>
      <w:r w:rsidRPr="2D23D9A4" w:rsidR="00054C5B">
        <w:rPr>
          <w:rFonts w:ascii="Arial" w:hAnsi="Arial" w:cs="Arial"/>
        </w:rPr>
        <w:t xml:space="preserve"> that </w:t>
      </w:r>
      <w:r w:rsidRPr="2D23D9A4" w:rsidR="00054C5B">
        <w:rPr>
          <w:rFonts w:ascii="Arial" w:hAnsi="Arial" w:cs="Arial"/>
        </w:rPr>
        <w:t>particular instructor</w:t>
      </w:r>
      <w:r w:rsidRPr="2D23D9A4" w:rsidR="00054C5B">
        <w:rPr>
          <w:rFonts w:ascii="Arial" w:hAnsi="Arial" w:cs="Arial"/>
        </w:rPr>
        <w:t>]</w:t>
      </w:r>
    </w:p>
    <w:p w:rsidR="00F442D1" w:rsidRDefault="00054C5B" w14:paraId="7FD20122" w14:textId="77777777">
      <w:pPr>
        <w:rPr>
          <w:rFonts w:ascii="Arial" w:hAnsi="Arial" w:cs="Arial"/>
        </w:rPr>
      </w:pPr>
      <w:r w:rsidRPr="00054C5B">
        <w:rPr>
          <w:rFonts w:ascii="Arial" w:hAnsi="Arial" w:cs="Arial"/>
          <w:b/>
          <w:bCs/>
        </w:rPr>
        <w:t>Meet cybersecurity professionals</w:t>
      </w:r>
      <w:r w:rsidRPr="00054C5B">
        <w:rPr>
          <w:rFonts w:ascii="Arial" w:hAnsi="Arial" w:cs="Arial"/>
        </w:rPr>
        <w:t xml:space="preserve"> – </w:t>
      </w:r>
      <w:r w:rsidRPr="00F442D1" w:rsidR="00F442D1">
        <w:rPr>
          <w:rFonts w:ascii="Arial" w:hAnsi="Arial" w:cs="Arial"/>
        </w:rPr>
        <w:t>Black Hat Europe offers a unique chance to network with thousands of cybersecurity professionals from both public and private sectors. Between cutting-edge Trainings and Briefings, I’ll engage with peers, clients, researchers, and consultants, while exploring the latest security technologies on the market. The presence of media and analysts amplifies the event’s reach, reinforcing Black Hat’s role as a leading source of cybersecurity insight.</w:t>
      </w:r>
    </w:p>
    <w:p w:rsidRPr="00223674" w:rsidR="00223674" w:rsidP="00223674" w:rsidRDefault="00054C5B" w14:paraId="74D9B1F5" w14:textId="47771DFD">
      <w:pPr>
        <w:rPr>
          <w:rFonts w:ascii="Arial" w:hAnsi="Arial" w:cs="Arial"/>
        </w:rPr>
      </w:pPr>
      <w:r w:rsidRPr="00054C5B">
        <w:rPr>
          <w:rFonts w:ascii="Arial" w:hAnsi="Arial" w:cs="Arial"/>
          <w:b/>
          <w:bCs/>
        </w:rPr>
        <w:t>Enhance Your Experience with a Tuesday Summit</w:t>
      </w:r>
      <w:r w:rsidRPr="00054C5B">
        <w:rPr>
          <w:rFonts w:ascii="Arial" w:hAnsi="Arial" w:cs="Arial"/>
        </w:rPr>
        <w:t xml:space="preserve"> – </w:t>
      </w:r>
      <w:r w:rsidRPr="008D129D" w:rsidR="008D129D">
        <w:rPr>
          <w:rFonts w:ascii="Arial" w:hAnsi="Arial" w:cs="Arial"/>
        </w:rPr>
        <w:t>Black Hat Summits are one-day, topic-driven events that unite the cybersecurity community to explore key issues shaping the industry—from AI and financial services to innovation and investment. Held before the main conference and Briefings, these expert-led sessions offer deep insights, lively discussion, and valuable networking in a focused format.</w:t>
      </w:r>
      <w:r w:rsidR="00223674">
        <w:rPr>
          <w:rFonts w:ascii="Arial" w:hAnsi="Arial" w:cs="Arial"/>
        </w:rPr>
        <w:t xml:space="preserve"> </w:t>
      </w:r>
      <w:r w:rsidRPr="00223674" w:rsidR="00223674">
        <w:rPr>
          <w:rFonts w:ascii="Arial" w:hAnsi="Arial" w:cs="Arial"/>
        </w:rPr>
        <w:t>For more details, visit the</w:t>
      </w:r>
      <w:r w:rsidR="00223674">
        <w:rPr>
          <w:rFonts w:ascii="Arial" w:hAnsi="Arial" w:cs="Arial"/>
        </w:rPr>
        <w:t>se Summit pages:</w:t>
      </w:r>
    </w:p>
    <w:p w:rsidRPr="00054C5B" w:rsidR="00D45AC5" w:rsidRDefault="00054C5B" w14:paraId="0DD1C637" w14:textId="77777777">
      <w:pPr>
        <w:rPr>
          <w:rFonts w:ascii="Arial" w:hAnsi="Arial" w:cs="Arial"/>
        </w:rPr>
      </w:pPr>
      <w:r w:rsidRPr="00054C5B">
        <w:rPr>
          <w:rFonts w:ascii="Arial" w:hAnsi="Arial" w:cs="Arial"/>
        </w:rPr>
        <w:t>https://www.blackhat.com/eu-25/ai-summit.html</w:t>
      </w:r>
    </w:p>
    <w:p w:rsidR="008D129D" w:rsidRDefault="008D129D" w14:paraId="7CB332AC" w14:textId="02787294">
      <w:pPr>
        <w:rPr>
          <w:rFonts w:ascii="Arial" w:hAnsi="Arial" w:cs="Arial"/>
        </w:rPr>
      </w:pPr>
      <w:hyperlink w:history="1" r:id="rId9">
        <w:r w:rsidRPr="00F709C4">
          <w:rPr>
            <w:rStyle w:val="Hyperlink"/>
            <w:rFonts w:ascii="Arial" w:hAnsi="Arial" w:cs="Arial"/>
          </w:rPr>
          <w:t>https://www.blackhat.com/eu-25/financial-summit.html</w:t>
        </w:r>
      </w:hyperlink>
    </w:p>
    <w:p w:rsidRPr="00054C5B" w:rsidR="00D45AC5" w:rsidRDefault="00054C5B" w14:paraId="5942435B" w14:textId="6BAA3B56">
      <w:pPr>
        <w:rPr>
          <w:rFonts w:ascii="Arial" w:hAnsi="Arial" w:cs="Arial"/>
        </w:rPr>
      </w:pPr>
      <w:r w:rsidRPr="00054C5B">
        <w:rPr>
          <w:rFonts w:ascii="Arial" w:hAnsi="Arial" w:cs="Arial"/>
        </w:rPr>
        <w:t>https://www.blackhat.com/eu-25/innovators-summit.html</w:t>
      </w:r>
    </w:p>
    <w:p w:rsidRPr="00054C5B" w:rsidR="00D45AC5" w:rsidRDefault="00D45AC5" w14:paraId="5E1EEBF3" w14:textId="77777777">
      <w:pPr>
        <w:rPr>
          <w:rFonts w:ascii="Arial" w:hAnsi="Arial" w:cs="Arial"/>
        </w:rPr>
      </w:pPr>
    </w:p>
    <w:p w:rsidRPr="00054C5B" w:rsidR="00D45AC5" w:rsidRDefault="00D45AC5" w14:paraId="634EA6B6" w14:textId="77777777">
      <w:pPr>
        <w:rPr>
          <w:rFonts w:ascii="Arial" w:hAnsi="Arial" w:cs="Arial"/>
        </w:rPr>
      </w:pPr>
    </w:p>
    <w:p w:rsidRPr="00054C5B" w:rsidR="00D45AC5" w:rsidRDefault="00054C5B" w14:paraId="5B5E815C" w14:textId="77777777">
      <w:pPr>
        <w:rPr>
          <w:rFonts w:ascii="Arial" w:hAnsi="Arial" w:cs="Arial"/>
        </w:rPr>
      </w:pPr>
      <w:r w:rsidRPr="00054C5B">
        <w:rPr>
          <w:rFonts w:ascii="Arial" w:hAnsi="Arial" w:cs="Arial"/>
        </w:rPr>
        <w:t>The approximate costs for my attendance:</w:t>
      </w:r>
    </w:p>
    <w:p w:rsidRPr="00054C5B" w:rsidR="00D45AC5" w:rsidRDefault="00054C5B" w14:paraId="5395A02E" w14:textId="77777777">
      <w:pPr>
        <w:rPr>
          <w:rFonts w:ascii="Arial" w:hAnsi="Arial" w:cs="Arial"/>
        </w:rPr>
      </w:pPr>
      <w:r w:rsidRPr="00054C5B">
        <w:rPr>
          <w:rFonts w:ascii="Arial" w:hAnsi="Arial" w:cs="Arial"/>
        </w:rPr>
        <w:t>Flight                                                                                      $XXX</w:t>
      </w:r>
    </w:p>
    <w:p w:rsidRPr="00054C5B" w:rsidR="00D45AC5" w:rsidRDefault="00054C5B" w14:paraId="2E2EE4EC" w14:textId="77777777">
      <w:pPr>
        <w:rPr>
          <w:rFonts w:ascii="Arial" w:hAnsi="Arial" w:cs="Arial"/>
        </w:rPr>
      </w:pPr>
      <w:r w:rsidRPr="00054C5B">
        <w:rPr>
          <w:rFonts w:ascii="Arial" w:hAnsi="Arial" w:cs="Arial"/>
        </w:rPr>
        <w:t xml:space="preserve">Transportation (round trip from airport to hotel)          </w:t>
      </w:r>
      <w:r w:rsidRPr="00054C5B">
        <w:rPr>
          <w:rFonts w:ascii="Arial" w:hAnsi="Arial" w:cs="Arial"/>
        </w:rPr>
        <w:tab/>
      </w:r>
      <w:r w:rsidRPr="00054C5B">
        <w:rPr>
          <w:rFonts w:ascii="Arial" w:hAnsi="Arial" w:cs="Arial"/>
        </w:rPr>
        <w:t>$XXX</w:t>
      </w:r>
    </w:p>
    <w:p w:rsidRPr="00054C5B" w:rsidR="00D45AC5" w:rsidRDefault="00054C5B" w14:paraId="5810EDE7" w14:textId="77777777">
      <w:pPr>
        <w:rPr>
          <w:rFonts w:ascii="Arial" w:hAnsi="Arial" w:cs="Arial"/>
        </w:rPr>
      </w:pPr>
      <w:r w:rsidRPr="00054C5B">
        <w:rPr>
          <w:rFonts w:ascii="Arial" w:hAnsi="Arial" w:cs="Arial"/>
        </w:rPr>
        <w:t xml:space="preserve">Hotel (3 nights (for briefings only) at $XXX per night)   </w:t>
      </w:r>
      <w:r w:rsidRPr="00054C5B">
        <w:rPr>
          <w:rFonts w:ascii="Arial" w:hAnsi="Arial" w:cs="Arial"/>
        </w:rPr>
        <w:tab/>
      </w:r>
      <w:r w:rsidRPr="00054C5B">
        <w:rPr>
          <w:rFonts w:ascii="Arial" w:hAnsi="Arial" w:cs="Arial"/>
        </w:rPr>
        <w:t>$XXX</w:t>
      </w:r>
    </w:p>
    <w:p w:rsidRPr="00054C5B" w:rsidR="00D45AC5" w:rsidRDefault="00054C5B" w14:paraId="1C838B4A" w14:textId="77777777">
      <w:pPr>
        <w:rPr>
          <w:rFonts w:ascii="Arial" w:hAnsi="Arial" w:cs="Arial"/>
        </w:rPr>
      </w:pPr>
      <w:r w:rsidRPr="00054C5B">
        <w:rPr>
          <w:rFonts w:ascii="Arial" w:hAnsi="Arial" w:cs="Arial"/>
        </w:rPr>
        <w:t xml:space="preserve">Meals (3 days at $XX per diem)                                         </w:t>
      </w:r>
      <w:r w:rsidRPr="00054C5B">
        <w:rPr>
          <w:rFonts w:ascii="Arial" w:hAnsi="Arial" w:cs="Arial"/>
        </w:rPr>
        <w:tab/>
      </w:r>
      <w:r w:rsidRPr="00054C5B">
        <w:rPr>
          <w:rFonts w:ascii="Arial" w:hAnsi="Arial" w:cs="Arial"/>
        </w:rPr>
        <w:t>$XXX</w:t>
      </w:r>
    </w:p>
    <w:p w:rsidRPr="00054C5B" w:rsidR="00D45AC5" w:rsidRDefault="00054C5B" w14:paraId="7D835D96" w14:textId="77777777">
      <w:pPr>
        <w:rPr>
          <w:rFonts w:ascii="Arial" w:hAnsi="Arial" w:cs="Arial"/>
        </w:rPr>
      </w:pPr>
      <w:r w:rsidRPr="00054C5B">
        <w:rPr>
          <w:rFonts w:ascii="Arial" w:hAnsi="Arial" w:cs="Arial"/>
        </w:rPr>
        <w:t xml:space="preserve">Training: (insert specific class title)                                   </w:t>
      </w:r>
      <w:r w:rsidRPr="00054C5B">
        <w:rPr>
          <w:rFonts w:ascii="Arial" w:hAnsi="Arial" w:cs="Arial"/>
        </w:rPr>
        <w:tab/>
      </w:r>
      <w:r w:rsidRPr="00054C5B">
        <w:rPr>
          <w:rFonts w:ascii="Arial" w:hAnsi="Arial" w:cs="Arial"/>
        </w:rPr>
        <w:t>$XXX (if applicable)</w:t>
      </w:r>
    </w:p>
    <w:p w:rsidRPr="00054C5B" w:rsidR="00D45AC5" w:rsidRDefault="00054C5B" w14:paraId="33AA3D2D" w14:textId="77777777">
      <w:pPr>
        <w:rPr>
          <w:rFonts w:ascii="Arial" w:hAnsi="Arial" w:cs="Arial"/>
        </w:rPr>
      </w:pPr>
      <w:r w:rsidRPr="00054C5B">
        <w:rPr>
          <w:rFonts w:ascii="Arial" w:hAnsi="Arial" w:cs="Arial"/>
        </w:rPr>
        <w:t>           Briefings Pass                                                                        $XXX</w:t>
      </w:r>
    </w:p>
    <w:p w:rsidRPr="00054C5B" w:rsidR="00D45AC5" w:rsidRDefault="00054C5B" w14:paraId="24F9C097" w14:textId="77777777">
      <w:pPr>
        <w:rPr>
          <w:rFonts w:ascii="Arial" w:hAnsi="Arial" w:cs="Arial"/>
        </w:rPr>
      </w:pPr>
      <w:r w:rsidRPr="00054C5B">
        <w:rPr>
          <w:rFonts w:ascii="Arial" w:hAnsi="Arial" w:cs="Arial"/>
        </w:rPr>
        <w:t xml:space="preserve">Total cost to attend:                                                            </w:t>
      </w:r>
      <w:r w:rsidRPr="00054C5B">
        <w:rPr>
          <w:rFonts w:ascii="Arial" w:hAnsi="Arial" w:cs="Arial"/>
        </w:rPr>
        <w:tab/>
      </w:r>
      <w:r w:rsidRPr="00054C5B">
        <w:rPr>
          <w:rFonts w:ascii="Arial" w:hAnsi="Arial" w:cs="Arial"/>
        </w:rPr>
        <w:t>$XXXX</w:t>
      </w:r>
    </w:p>
    <w:p w:rsidRPr="00054C5B" w:rsidR="00D45AC5" w:rsidRDefault="00054C5B" w14:paraId="1C5E2125" w14:textId="77777777">
      <w:pPr>
        <w:rPr>
          <w:rFonts w:ascii="Arial" w:hAnsi="Arial" w:cs="Arial"/>
        </w:rPr>
      </w:pPr>
      <w:r w:rsidRPr="00054C5B">
        <w:rPr>
          <w:rFonts w:ascii="Arial" w:hAnsi="Arial" w:cs="Arial"/>
        </w:rPr>
        <w:t>I will submit a summary of my learning and opportunities when I return, and circulate an action plan of recommendations for consideration and discussion. I will also provide a review of the event to inform your decision on any future attendance by colleagues.</w:t>
      </w:r>
    </w:p>
    <w:p w:rsidRPr="00054C5B" w:rsidR="00D45AC5" w:rsidRDefault="00054C5B" w14:paraId="622A5C6F" w14:textId="77777777">
      <w:pPr>
        <w:rPr>
          <w:rFonts w:ascii="Arial" w:hAnsi="Arial" w:cs="Arial"/>
        </w:rPr>
      </w:pPr>
      <w:r w:rsidRPr="00054C5B">
        <w:rPr>
          <w:rFonts w:ascii="Arial" w:hAnsi="Arial" w:cs="Arial"/>
        </w:rPr>
        <w:t>Thank you for your consideration. Please don’t hesitate to call me if you would like to discuss or need additional clarification. I look forward to your reply.</w:t>
      </w:r>
    </w:p>
    <w:p w:rsidRPr="00054C5B" w:rsidR="00D45AC5" w:rsidRDefault="00D45AC5" w14:paraId="0E28FFEB" w14:textId="77777777">
      <w:pPr>
        <w:rPr>
          <w:rFonts w:ascii="Arial" w:hAnsi="Arial" w:cs="Arial"/>
        </w:rPr>
      </w:pPr>
    </w:p>
    <w:sectPr w:rsidRPr="00054C5B" w:rsidR="00D45AC5" w:rsidSect="00034616">
      <w:footerReference w:type="even" r:id="rId10"/>
      <w:footerReference w:type="default" r:id="rId11"/>
      <w:footerReference w:type="firs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BB8" w:rsidP="004F7FF8" w:rsidRDefault="00581BB8" w14:paraId="56CDEC4B" w14:textId="77777777">
      <w:pPr>
        <w:spacing w:after="0" w:line="240" w:lineRule="auto"/>
      </w:pPr>
      <w:r>
        <w:separator/>
      </w:r>
    </w:p>
  </w:endnote>
  <w:endnote w:type="continuationSeparator" w:id="0">
    <w:p w:rsidR="00581BB8" w:rsidP="004F7FF8" w:rsidRDefault="00581BB8" w14:paraId="49F97B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7FF8" w:rsidRDefault="004F7FF8" w14:paraId="12CA4AF9" w14:textId="25884364">
    <w:pPr>
      <w:pStyle w:val="Footer"/>
    </w:pPr>
    <w:r>
      <w:rPr>
        <w:noProof/>
      </w:rPr>
      <mc:AlternateContent>
        <mc:Choice Requires="wps">
          <w:drawing>
            <wp:anchor distT="0" distB="0" distL="0" distR="0" simplePos="0" relativeHeight="251659264" behindDoc="0" locked="0" layoutInCell="1" allowOverlap="1" wp14:anchorId="778E13EA" wp14:editId="67233D12">
              <wp:simplePos x="635" y="635"/>
              <wp:positionH relativeFrom="page">
                <wp:align>left</wp:align>
              </wp:positionH>
              <wp:positionV relativeFrom="page">
                <wp:align>bottom</wp:align>
              </wp:positionV>
              <wp:extent cx="2085975" cy="344805"/>
              <wp:effectExtent l="0" t="0" r="9525" b="0"/>
              <wp:wrapNone/>
              <wp:docPr id="202737529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rsidRPr="004F7FF8" w:rsidR="004F7FF8" w:rsidP="004F7FF8" w:rsidRDefault="004F7FF8" w14:paraId="263C00FB" w14:textId="66FE6257">
                          <w:pPr>
                            <w:spacing w:after="0"/>
                            <w:rPr>
                              <w:rFonts w:ascii="Rockwell" w:hAnsi="Rockwell" w:eastAsia="Rockwell" w:cs="Rockwell"/>
                              <w:noProof/>
                              <w:color w:val="0078D7"/>
                              <w:sz w:val="18"/>
                              <w:szCs w:val="18"/>
                            </w:rPr>
                          </w:pPr>
                          <w:r w:rsidRPr="004F7FF8">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FDEE182">
            <v:shapetype id="_x0000_t202" coordsize="21600,21600" o:spt="202" path="m,l,21600r21600,l21600,xe" w14:anchorId="778E13EA">
              <v:stroke joinstyle="miter"/>
              <v:path gradientshapeok="t" o:connecttype="rect"/>
            </v:shapetype>
            <v:shape id="Text Box 2"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v:textbox style="mso-fit-shape-to-text:t" inset="20pt,0,0,15pt">
                <w:txbxContent>
                  <w:p w:rsidRPr="004F7FF8" w:rsidR="004F7FF8" w:rsidP="004F7FF8" w:rsidRDefault="004F7FF8" w14:paraId="2FFF10C5" w14:textId="66FE6257">
                    <w:pPr>
                      <w:spacing w:after="0"/>
                      <w:rPr>
                        <w:rFonts w:ascii="Rockwell" w:hAnsi="Rockwell" w:eastAsia="Rockwell" w:cs="Rockwell"/>
                        <w:noProof/>
                        <w:color w:val="0078D7"/>
                        <w:sz w:val="18"/>
                        <w:szCs w:val="18"/>
                      </w:rPr>
                    </w:pPr>
                    <w:r w:rsidRPr="004F7FF8">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7FF8" w:rsidRDefault="004F7FF8" w14:paraId="3B549031" w14:textId="42C0FEF1">
    <w:pPr>
      <w:pStyle w:val="Footer"/>
    </w:pPr>
    <w:r>
      <w:rPr>
        <w:noProof/>
      </w:rPr>
      <mc:AlternateContent>
        <mc:Choice Requires="wps">
          <w:drawing>
            <wp:anchor distT="0" distB="0" distL="0" distR="0" simplePos="0" relativeHeight="251660288" behindDoc="0" locked="0" layoutInCell="1" allowOverlap="1" wp14:anchorId="01013A8C" wp14:editId="109CBE65">
              <wp:simplePos x="1143000" y="9436100"/>
              <wp:positionH relativeFrom="page">
                <wp:align>left</wp:align>
              </wp:positionH>
              <wp:positionV relativeFrom="page">
                <wp:align>bottom</wp:align>
              </wp:positionV>
              <wp:extent cx="2085975" cy="344805"/>
              <wp:effectExtent l="0" t="0" r="9525" b="0"/>
              <wp:wrapNone/>
              <wp:docPr id="116381201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rsidRPr="004F7FF8" w:rsidR="004F7FF8" w:rsidP="004F7FF8" w:rsidRDefault="004F7FF8" w14:paraId="1F41B25A" w14:textId="3663ED81">
                          <w:pPr>
                            <w:spacing w:after="0"/>
                            <w:rPr>
                              <w:rFonts w:ascii="Rockwell" w:hAnsi="Rockwell" w:eastAsia="Rockwell" w:cs="Rockwell"/>
                              <w:noProof/>
                              <w:color w:val="0078D7"/>
                              <w:sz w:val="18"/>
                              <w:szCs w:val="18"/>
                            </w:rPr>
                          </w:pPr>
                          <w:r w:rsidRPr="004F7FF8">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9E72959">
            <v:shapetype id="_x0000_t202" coordsize="21600,21600" o:spt="202" path="m,l,21600r21600,l21600,xe" w14:anchorId="01013A8C">
              <v:stroke joinstyle="miter"/>
              <v:path gradientshapeok="t" o:connecttype="rect"/>
            </v:shapetype>
            <v:shape id="Text Box 3"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v:textbox style="mso-fit-shape-to-text:t" inset="20pt,0,0,15pt">
                <w:txbxContent>
                  <w:p w:rsidRPr="004F7FF8" w:rsidR="004F7FF8" w:rsidP="004F7FF8" w:rsidRDefault="004F7FF8" w14:paraId="605BB100" w14:textId="3663ED81">
                    <w:pPr>
                      <w:spacing w:after="0"/>
                      <w:rPr>
                        <w:rFonts w:ascii="Rockwell" w:hAnsi="Rockwell" w:eastAsia="Rockwell" w:cs="Rockwell"/>
                        <w:noProof/>
                        <w:color w:val="0078D7"/>
                        <w:sz w:val="18"/>
                        <w:szCs w:val="18"/>
                      </w:rPr>
                    </w:pPr>
                    <w:r w:rsidRPr="004F7FF8">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7FF8" w:rsidRDefault="004F7FF8" w14:paraId="18457B06" w14:textId="10894573">
    <w:pPr>
      <w:pStyle w:val="Footer"/>
    </w:pPr>
    <w:r>
      <w:rPr>
        <w:noProof/>
      </w:rPr>
      <mc:AlternateContent>
        <mc:Choice Requires="wps">
          <w:drawing>
            <wp:anchor distT="0" distB="0" distL="0" distR="0" simplePos="0" relativeHeight="251658240" behindDoc="0" locked="0" layoutInCell="1" allowOverlap="1" wp14:anchorId="7D3A00ED" wp14:editId="26D46255">
              <wp:simplePos x="635" y="635"/>
              <wp:positionH relativeFrom="page">
                <wp:align>left</wp:align>
              </wp:positionH>
              <wp:positionV relativeFrom="page">
                <wp:align>bottom</wp:align>
              </wp:positionV>
              <wp:extent cx="2085975" cy="344805"/>
              <wp:effectExtent l="0" t="0" r="9525" b="0"/>
              <wp:wrapNone/>
              <wp:docPr id="5853962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rsidRPr="004F7FF8" w:rsidR="004F7FF8" w:rsidP="004F7FF8" w:rsidRDefault="004F7FF8" w14:paraId="77C6B690" w14:textId="1D56A6FA">
                          <w:pPr>
                            <w:spacing w:after="0"/>
                            <w:rPr>
                              <w:rFonts w:ascii="Rockwell" w:hAnsi="Rockwell" w:eastAsia="Rockwell" w:cs="Rockwell"/>
                              <w:noProof/>
                              <w:color w:val="0078D7"/>
                              <w:sz w:val="18"/>
                              <w:szCs w:val="18"/>
                            </w:rPr>
                          </w:pPr>
                          <w:r w:rsidRPr="004F7FF8">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D8A3F16">
            <v:shapetype id="_x0000_t202" coordsize="21600,21600" o:spt="202" path="m,l,21600r21600,l21600,xe" w14:anchorId="7D3A00ED">
              <v:stroke joinstyle="miter"/>
              <v:path gradientshapeok="t" o:connecttype="rect"/>
            </v:shapetype>
            <v:shape id="Text Box 1"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v:textbox style="mso-fit-shape-to-text:t" inset="20pt,0,0,15pt">
                <w:txbxContent>
                  <w:p w:rsidRPr="004F7FF8" w:rsidR="004F7FF8" w:rsidP="004F7FF8" w:rsidRDefault="004F7FF8" w14:paraId="3AD7C5D3" w14:textId="1D56A6FA">
                    <w:pPr>
                      <w:spacing w:after="0"/>
                      <w:rPr>
                        <w:rFonts w:ascii="Rockwell" w:hAnsi="Rockwell" w:eastAsia="Rockwell" w:cs="Rockwell"/>
                        <w:noProof/>
                        <w:color w:val="0078D7"/>
                        <w:sz w:val="18"/>
                        <w:szCs w:val="18"/>
                      </w:rPr>
                    </w:pPr>
                    <w:r w:rsidRPr="004F7FF8">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BB8" w:rsidP="004F7FF8" w:rsidRDefault="00581BB8" w14:paraId="1EEF6FAB" w14:textId="77777777">
      <w:pPr>
        <w:spacing w:after="0" w:line="240" w:lineRule="auto"/>
      </w:pPr>
      <w:r>
        <w:separator/>
      </w:r>
    </w:p>
  </w:footnote>
  <w:footnote w:type="continuationSeparator" w:id="0">
    <w:p w:rsidR="00581BB8" w:rsidP="004F7FF8" w:rsidRDefault="00581BB8" w14:paraId="08C0485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633100064">
    <w:abstractNumId w:val="8"/>
  </w:num>
  <w:num w:numId="2" w16cid:durableId="838932254">
    <w:abstractNumId w:val="6"/>
  </w:num>
  <w:num w:numId="3" w16cid:durableId="1311521517">
    <w:abstractNumId w:val="5"/>
  </w:num>
  <w:num w:numId="4" w16cid:durableId="448427687">
    <w:abstractNumId w:val="4"/>
  </w:num>
  <w:num w:numId="5" w16cid:durableId="1888100626">
    <w:abstractNumId w:val="7"/>
  </w:num>
  <w:num w:numId="6" w16cid:durableId="425199447">
    <w:abstractNumId w:val="3"/>
  </w:num>
  <w:num w:numId="7" w16cid:durableId="120075182">
    <w:abstractNumId w:val="2"/>
  </w:num>
  <w:num w:numId="8" w16cid:durableId="1480071678">
    <w:abstractNumId w:val="1"/>
  </w:num>
  <w:num w:numId="9" w16cid:durableId="7138960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19A"/>
    <w:rsid w:val="00034616"/>
    <w:rsid w:val="00054C5B"/>
    <w:rsid w:val="0006063C"/>
    <w:rsid w:val="0015074B"/>
    <w:rsid w:val="00223674"/>
    <w:rsid w:val="00256B37"/>
    <w:rsid w:val="0029639D"/>
    <w:rsid w:val="00326F90"/>
    <w:rsid w:val="004F7FF8"/>
    <w:rsid w:val="00542CED"/>
    <w:rsid w:val="00581BB8"/>
    <w:rsid w:val="0063441E"/>
    <w:rsid w:val="00724A54"/>
    <w:rsid w:val="007A4BAE"/>
    <w:rsid w:val="008D129D"/>
    <w:rsid w:val="00905504"/>
    <w:rsid w:val="00953CF1"/>
    <w:rsid w:val="00AA1D8D"/>
    <w:rsid w:val="00B47730"/>
    <w:rsid w:val="00B60517"/>
    <w:rsid w:val="00B848FA"/>
    <w:rsid w:val="00C17E60"/>
    <w:rsid w:val="00CB0664"/>
    <w:rsid w:val="00D45AC5"/>
    <w:rsid w:val="00E22F77"/>
    <w:rsid w:val="00F442D1"/>
    <w:rsid w:val="00FC693F"/>
    <w:rsid w:val="2D23D9A4"/>
    <w:rsid w:val="38DA4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D6EF5"/>
  <w14:defaultImageDpi w14:val="300"/>
  <w15:docId w15:val="{22284A52-FF30-46FF-8591-2FDB784248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F7FF8"/>
    <w:rPr>
      <w:color w:val="0000FF" w:themeColor="hyperlink"/>
      <w:u w:val="single"/>
    </w:rPr>
  </w:style>
  <w:style w:type="character" w:styleId="UnresolvedMention">
    <w:name w:val="Unresolved Mention"/>
    <w:basedOn w:val="DefaultParagraphFont"/>
    <w:uiPriority w:val="99"/>
    <w:semiHidden/>
    <w:unhideWhenUsed/>
    <w:rsid w:val="004F7FF8"/>
    <w:rPr>
      <w:color w:val="605E5C"/>
      <w:shd w:val="clear" w:color="auto" w:fill="E1DFDD"/>
    </w:rPr>
  </w:style>
  <w:style w:type="paragraph" w:styleId="NormalWeb">
    <w:name w:val="Normal (Web)"/>
    <w:basedOn w:val="Normal"/>
    <w:uiPriority w:val="99"/>
    <w:semiHidden/>
    <w:unhideWhenUsed/>
    <w:rsid w:val="00953C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67080">
      <w:bodyDiv w:val="1"/>
      <w:marLeft w:val="0"/>
      <w:marRight w:val="0"/>
      <w:marTop w:val="0"/>
      <w:marBottom w:val="0"/>
      <w:divBdr>
        <w:top w:val="none" w:sz="0" w:space="0" w:color="auto"/>
        <w:left w:val="none" w:sz="0" w:space="0" w:color="auto"/>
        <w:bottom w:val="none" w:sz="0" w:space="0" w:color="auto"/>
        <w:right w:val="none" w:sz="0" w:space="0" w:color="auto"/>
      </w:divBdr>
    </w:div>
    <w:div w:id="1045059547">
      <w:bodyDiv w:val="1"/>
      <w:marLeft w:val="0"/>
      <w:marRight w:val="0"/>
      <w:marTop w:val="0"/>
      <w:marBottom w:val="0"/>
      <w:divBdr>
        <w:top w:val="none" w:sz="0" w:space="0" w:color="auto"/>
        <w:left w:val="none" w:sz="0" w:space="0" w:color="auto"/>
        <w:bottom w:val="none" w:sz="0" w:space="0" w:color="auto"/>
        <w:right w:val="none" w:sz="0" w:space="0" w:color="auto"/>
      </w:divBdr>
    </w:div>
    <w:div w:id="1349137456">
      <w:bodyDiv w:val="1"/>
      <w:marLeft w:val="0"/>
      <w:marRight w:val="0"/>
      <w:marTop w:val="0"/>
      <w:marBottom w:val="0"/>
      <w:divBdr>
        <w:top w:val="none" w:sz="0" w:space="0" w:color="auto"/>
        <w:left w:val="none" w:sz="0" w:space="0" w:color="auto"/>
        <w:bottom w:val="none" w:sz="0" w:space="0" w:color="auto"/>
        <w:right w:val="none" w:sz="0" w:space="0" w:color="auto"/>
      </w:divBdr>
    </w:div>
    <w:div w:id="1506941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blackhat.com/eu-25/briefings/schedule/index.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blackhat.com/eu-25/financial-summit.html"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Totani-Skobel, Taylor</lastModifiedBy>
  <revision>14</revision>
  <dcterms:created xsi:type="dcterms:W3CDTF">2025-10-22T15:10:00.0000000Z</dcterms:created>
  <dcterms:modified xsi:type="dcterms:W3CDTF">2025-10-28T14:53:02.8341897Z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07cc64d3-02af-41e6-9585-4444114b6d7a</vt:lpwstr>
  </property>
  <property fmtid="{D5CDD505-2E9C-101B-9397-08002B2CF9AE}" pid="3" name="ClassificationContentMarkingFooterShapeIds">
    <vt:lpwstr>22e47016,78d74abe,455e5cb0</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2025-10-22T15:10:13Z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b8f8a824-7735-4446-b13e-2a0cab07cdd5</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